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30KW盐泵</w:t>
      </w:r>
      <w:r>
        <w:rPr>
          <w:rFonts w:hint="eastAsia" w:ascii="宋体" w:hAnsi="宋体" w:eastAsia="宋体" w:cs="宋体"/>
          <w:i w:val="0"/>
          <w:iCs w:val="0"/>
          <w:caps w:val="0"/>
          <w:color w:val="000000"/>
          <w:spacing w:val="0"/>
          <w:sz w:val="31"/>
          <w:szCs w:val="31"/>
          <w:lang w:eastAsia="zh-CN"/>
        </w:rPr>
        <w:t>采购需求公告</w:t>
      </w:r>
    </w:p>
    <w:p>
      <w:pPr>
        <w:pStyle w:val="3"/>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30KW盐泵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本次采购</w:t>
      </w:r>
      <w:bookmarkStart w:id="1" w:name="_GoBack"/>
      <w:bookmarkEnd w:id="1"/>
      <w:r>
        <w:rPr>
          <w:rFonts w:hint="eastAsia" w:asciiTheme="minorEastAsia" w:hAnsiTheme="minorEastAsia" w:cstheme="minorEastAsia"/>
          <w:i w:val="0"/>
          <w:iCs w:val="0"/>
          <w:color w:val="auto"/>
          <w:kern w:val="0"/>
          <w:sz w:val="28"/>
          <w:szCs w:val="28"/>
          <w:u w:val="none"/>
          <w:lang w:val="en-US" w:eastAsia="zh-CN" w:bidi="ar"/>
        </w:rPr>
        <w:t>总价</w:t>
      </w:r>
      <w:r>
        <w:rPr>
          <w:rFonts w:hint="eastAsia" w:asciiTheme="minorEastAsia" w:hAnsiTheme="minorEastAsia" w:eastAsiaTheme="minorEastAsia" w:cstheme="minorEastAsia"/>
          <w:bCs/>
          <w:color w:val="auto"/>
          <w:sz w:val="28"/>
          <w:szCs w:val="28"/>
          <w:lang w:val="en-US" w:eastAsia="zh-CN"/>
        </w:rPr>
        <w:t>最高限价为</w:t>
      </w:r>
      <w:r>
        <w:rPr>
          <w:rFonts w:hint="eastAsia" w:asciiTheme="minorEastAsia" w:hAnsiTheme="minorEastAsia" w:cstheme="minorEastAsia"/>
          <w:bCs/>
          <w:color w:val="auto"/>
          <w:sz w:val="28"/>
          <w:szCs w:val="28"/>
          <w:lang w:val="en-US" w:eastAsia="zh-CN"/>
        </w:rPr>
        <w:t>35000</w:t>
      </w:r>
      <w:r>
        <w:rPr>
          <w:rFonts w:hint="eastAsia" w:asciiTheme="minorEastAsia" w:hAnsiTheme="minorEastAsia" w:eastAsiaTheme="minorEastAsia" w:cstheme="minorEastAsia"/>
          <w:bCs/>
          <w:color w:val="auto"/>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13</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15</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30KW盐泵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报价含运输费用及13%税</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2"/>
        <w:keepNext w:val="0"/>
        <w:keepLines w:val="0"/>
        <w:pageBreakBefore w:val="0"/>
        <w:kinsoku/>
        <w:wordWrap/>
        <w:overflowPunct/>
        <w:topLinePunct w:val="0"/>
        <w:autoSpaceDE/>
        <w:autoSpaceDN/>
        <w:bidi w:val="0"/>
        <w:spacing w:line="520" w:lineRule="exact"/>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连云港市工投集团日晒制盐有限公司</w:t>
      </w:r>
    </w:p>
    <w:p>
      <w:pPr>
        <w:pStyle w:val="2"/>
        <w:keepNext w:val="0"/>
        <w:keepLines w:val="0"/>
        <w:pageBreakBefore w:val="0"/>
        <w:kinsoku/>
        <w:wordWrap/>
        <w:overflowPunct/>
        <w:topLinePunct w:val="0"/>
        <w:autoSpaceDE/>
        <w:autoSpaceDN/>
        <w:bidi w:val="0"/>
        <w:spacing w:line="520" w:lineRule="exact"/>
        <w:rPr>
          <w:rFonts w:hint="default"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乙方：</w:t>
      </w:r>
    </w:p>
    <w:p>
      <w:pPr>
        <w:pStyle w:val="2"/>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30KW盐泵</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止。第二条、货物名称、规格</w:t>
      </w:r>
      <w:r>
        <w:rPr>
          <w:rFonts w:hint="eastAsia" w:cs="宋体" w:asciiTheme="minorEastAsia" w:hAnsiTheme="minorEastAsia"/>
          <w:b w:val="0"/>
          <w:bCs/>
          <w:color w:val="auto"/>
          <w:sz w:val="28"/>
          <w:szCs w:val="28"/>
          <w:lang w:val="en-US" w:eastAsia="zh-CN" w:bidi="ar-SA"/>
        </w:rPr>
        <w:t>型号</w:t>
      </w:r>
      <w:r>
        <w:rPr>
          <w:rFonts w:hint="eastAsia" w:cs="宋体" w:asciiTheme="minorEastAsia" w:hAnsiTheme="minorEastAsia" w:eastAsiaTheme="minorEastAsia"/>
          <w:b w:val="0"/>
          <w:bCs/>
          <w:color w:val="auto"/>
          <w:sz w:val="28"/>
          <w:szCs w:val="28"/>
          <w:lang w:val="en-US" w:eastAsia="zh-CN" w:bidi="ar-SA"/>
        </w:rPr>
        <w:t>、单位、数量、单价、金额。</w:t>
      </w:r>
    </w:p>
    <w:tbl>
      <w:tblPr>
        <w:tblStyle w:val="4"/>
        <w:tblW w:w="9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922"/>
        <w:gridCol w:w="2885"/>
        <w:gridCol w:w="770"/>
        <w:gridCol w:w="770"/>
        <w:gridCol w:w="770"/>
        <w:gridCol w:w="770"/>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30KW盐泵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eastAsia="zh-CN"/>
        </w:rPr>
        <w:t>行业内</w:t>
      </w:r>
      <w:r>
        <w:rPr>
          <w:rFonts w:hint="eastAsia" w:asciiTheme="minorEastAsia" w:hAnsiTheme="minorEastAsia" w:eastAsiaTheme="minorEastAsia"/>
          <w:b w:val="0"/>
          <w:color w:val="auto"/>
          <w:sz w:val="28"/>
          <w:szCs w:val="28"/>
        </w:rPr>
        <w:t>技术标准</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3447F2C"/>
    <w:rsid w:val="06555A63"/>
    <w:rsid w:val="0AE543AB"/>
    <w:rsid w:val="0C895F79"/>
    <w:rsid w:val="1186162C"/>
    <w:rsid w:val="222C56B1"/>
    <w:rsid w:val="266E7536"/>
    <w:rsid w:val="2AE15CAC"/>
    <w:rsid w:val="302029F1"/>
    <w:rsid w:val="30481614"/>
    <w:rsid w:val="316025BD"/>
    <w:rsid w:val="3A771171"/>
    <w:rsid w:val="3CBE6DF5"/>
    <w:rsid w:val="3CF75E55"/>
    <w:rsid w:val="3F8C5D8F"/>
    <w:rsid w:val="457E43CC"/>
    <w:rsid w:val="465F583B"/>
    <w:rsid w:val="486C4E4D"/>
    <w:rsid w:val="5D370BE1"/>
    <w:rsid w:val="5FE60147"/>
    <w:rsid w:val="61C46AD1"/>
    <w:rsid w:val="65325CE9"/>
    <w:rsid w:val="68361477"/>
    <w:rsid w:val="699A7177"/>
    <w:rsid w:val="6B465C29"/>
    <w:rsid w:val="6DF82E3E"/>
    <w:rsid w:val="70E264E5"/>
    <w:rsid w:val="72B84508"/>
    <w:rsid w:val="752E6856"/>
    <w:rsid w:val="754207C6"/>
    <w:rsid w:val="7EC5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default" w:ascii="Tahoma" w:hAnsi="Tahoma" w:eastAsia="Tahoma" w:cs="Tahoma"/>
      <w:color w:val="000000"/>
      <w:sz w:val="22"/>
      <w:szCs w:val="22"/>
      <w:u w:val="none"/>
    </w:rPr>
  </w:style>
  <w:style w:type="character" w:customStyle="1" w:styleId="7">
    <w:name w:val="font2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1752</Words>
  <Characters>1906</Characters>
  <Lines>0</Lines>
  <Paragraphs>0</Paragraphs>
  <TotalTime>6</TotalTime>
  <ScaleCrop>false</ScaleCrop>
  <LinksUpToDate>false</LinksUpToDate>
  <CharactersWithSpaces>1995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2022-09-06T00:24:59Z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1B48DDD8258547FEB99A4D59ACF31097</vt:lpwstr>
  </property>
</Properties>
</file>